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E77AA" w14:textId="77777777" w:rsidR="00B96E28" w:rsidRPr="00B96E28" w:rsidRDefault="00B96E28" w:rsidP="00B96E28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(6/2025) Rozpoczęcie przeglądu opcji strategicznych w zakresie zmiany profilu działalności lub rozszerzenie obecnej działalności.</w:t>
      </w:r>
    </w:p>
    <w:p w14:paraId="0BA1A2D5" w14:textId="77777777" w:rsidR="00B96E28" w:rsidRPr="00B96E28" w:rsidRDefault="00B96E28" w:rsidP="00B96E28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6/2025</w:t>
      </w:r>
    </w:p>
    <w:p w14:paraId="52F07256" w14:textId="77777777" w:rsidR="00B96E28" w:rsidRPr="00B96E28" w:rsidRDefault="00B96E28" w:rsidP="00B96E28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D5F267B" w14:textId="77777777" w:rsidR="00B96E28" w:rsidRPr="00B96E28" w:rsidRDefault="00B96E28" w:rsidP="00B96E28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Postawa prawna: Art. 17 ust. 1 MAR - informacje poufne.</w:t>
      </w:r>
    </w:p>
    <w:p w14:paraId="76542355" w14:textId="77777777" w:rsidR="00B96E28" w:rsidRPr="00B96E28" w:rsidRDefault="00B96E28" w:rsidP="00B96E28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("Emitent", "Spółka") informuje, iż w dniu 12 czerwca 2025 roku podjął decyzję o rozpoczęciu procesu przeglądu opcji strategicznych dla Spółki w zakresie kierunków zmiany profilu działalności lub rozszerzenia jej obecnej działalności.</w:t>
      </w:r>
    </w:p>
    <w:p w14:paraId="14DC6E3D" w14:textId="77777777" w:rsidR="00B96E28" w:rsidRPr="00B96E28" w:rsidRDefault="00B96E28" w:rsidP="00B96E28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Głównym priorytetem tego procesu jest wybór </w:t>
      </w:r>
      <w:proofErr w:type="gramStart"/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najbardziej optymalnego</w:t>
      </w:r>
      <w:proofErr w:type="gramEnd"/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 sposobu zmiany lub rozszerzenia profilu obecnej działalności Emitenta oraz wsparcie jego rozwoju, które przyczynią się do wzrostu wartości dla akcjonariuszy, zdobycia nowych rynków i zwiększenia konkurencyjności Spółki. W ramach procesu przeglądu opcji strategicznych Zarząd Spółki rozpocznie również rozmowy z zainteresowanymi podmiotami na temat zmiany profilu działalności.</w:t>
      </w:r>
    </w:p>
    <w:p w14:paraId="677DE576" w14:textId="77777777" w:rsidR="00B96E28" w:rsidRPr="00B96E28" w:rsidRDefault="00B96E28" w:rsidP="00B96E28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rozważa rozpoczęcie działalności Spółki w następujących obszarach:</w:t>
      </w:r>
    </w:p>
    <w:p w14:paraId="63D8CEC2" w14:textId="77777777" w:rsidR="00B96E28" w:rsidRPr="00B96E28" w:rsidRDefault="00B96E28" w:rsidP="00B96E28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- Blockchain oraz szeroko rozumiany rynek krypto walutowy, w tym także inwestycje w projekty z tego segmentu w Polsce oraz na świecie;</w:t>
      </w:r>
    </w:p>
    <w:p w14:paraId="0F80E217" w14:textId="77777777" w:rsidR="00B96E28" w:rsidRPr="00B96E28" w:rsidRDefault="00B96E28" w:rsidP="00B96E28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lastRenderedPageBreak/>
        <w:t>- Cyberbezpieczeństwo oraz działalność w sektorze IT oraz usług w zakresie cyberbezpieczeństwo;</w:t>
      </w:r>
    </w:p>
    <w:p w14:paraId="5E6E3843" w14:textId="77777777" w:rsidR="00B96E28" w:rsidRPr="00B96E28" w:rsidRDefault="00B96E28" w:rsidP="00B96E28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- Sektor militarny i działalność w zakresie tworzenia oraz rozwoju technologii w segmencie AIR-DEFENCE rozumianym przez rozwój technologii dronowych podwójnego zastosowania w obszarze militarnym oraz cywilnym.</w:t>
      </w:r>
    </w:p>
    <w:p w14:paraId="45714D1D" w14:textId="77777777" w:rsidR="00B96E28" w:rsidRPr="00B96E28" w:rsidRDefault="00B96E28" w:rsidP="00B96E28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Jednocześnie w trakcie przeglądu opcji strategicznych Spółka będzie kontynuować realizację dotychczasowej strategii.</w:t>
      </w:r>
    </w:p>
    <w:p w14:paraId="26A82528" w14:textId="77777777" w:rsidR="00B96E28" w:rsidRPr="00B96E28" w:rsidRDefault="00B96E28" w:rsidP="00B96E28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Emitenta informuje także, że aktualnie nie podjęto żadnych wiążących decyzji związanych z wyborem konkretnej opcji. O ewentualnych kolejnych istotnych decyzjach odnoszących się do ww. procesu Emitent będzie informował w trybie właściwych raportów.</w:t>
      </w:r>
    </w:p>
    <w:p w14:paraId="1BA63E49" w14:textId="77777777" w:rsidR="00B96E28" w:rsidRPr="00B96E28" w:rsidRDefault="00B96E28" w:rsidP="00B96E28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96E28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Zgodnie z podjętą uchwałą przegląd opcji strategicznych potrwa maksymalnie do końca III kwartału 2025 r.</w:t>
      </w:r>
    </w:p>
    <w:p w14:paraId="6DE8AC58" w14:textId="77777777" w:rsidR="008467A2" w:rsidRDefault="008467A2" w:rsidP="00B96E28"/>
    <w:p w14:paraId="70A88A94" w14:textId="3782FEF1" w:rsidR="00B96E28" w:rsidRPr="00B96E28" w:rsidRDefault="00B96E28" w:rsidP="00B96E28">
      <w:r>
        <w:t>Data raportu 2025-06-12</w:t>
      </w:r>
    </w:p>
    <w:sectPr w:rsidR="00B96E28" w:rsidRPr="00B96E28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E28"/>
    <w:rsid w:val="00304941"/>
    <w:rsid w:val="00361E85"/>
    <w:rsid w:val="004E6214"/>
    <w:rsid w:val="00504F3D"/>
    <w:rsid w:val="008467A2"/>
    <w:rsid w:val="008B3DD8"/>
    <w:rsid w:val="00A71309"/>
    <w:rsid w:val="00B2398E"/>
    <w:rsid w:val="00B96E28"/>
    <w:rsid w:val="00BE0157"/>
    <w:rsid w:val="00BE4358"/>
    <w:rsid w:val="00C9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D8EFD0"/>
  <w15:chartTrackingRefBased/>
  <w15:docId w15:val="{1D63B276-7D4E-8C42-888B-C8CC1B52B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6E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6E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6E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6E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6E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6E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6E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6E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6E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6E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6E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6E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6E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6E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6E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6E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6E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6E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6E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6E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6E2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6E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6E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6E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6E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6E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6E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6E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6E28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B96E28"/>
  </w:style>
  <w:style w:type="paragraph" w:customStyle="1" w:styleId="field--name-field-lead">
    <w:name w:val="field--name-field-lead"/>
    <w:basedOn w:val="Normalny"/>
    <w:rsid w:val="00B96E2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B96E2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49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1</cp:revision>
  <dcterms:created xsi:type="dcterms:W3CDTF">2025-06-25T11:25:00Z</dcterms:created>
  <dcterms:modified xsi:type="dcterms:W3CDTF">2025-06-25T11:26:00Z</dcterms:modified>
</cp:coreProperties>
</file>